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4968"/>
        <w:tblLayout w:type="fixed"/>
      </w:tblPr>
      <w:tblGrid>
        <w:gridCol w:w="4953"/>
      </w:tblGrid>
      <w:tr>
        <w:tc>
          <w:tcPr>
            <w:tcW w:type="dxa" w:w="4953"/>
          </w:tcPr>
          <w:p w14:paraId="01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caps w:val="1"/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02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постановлению</w:t>
            </w:r>
            <w:r>
              <w:rPr>
                <w:sz w:val="28"/>
              </w:rPr>
              <w:t xml:space="preserve"> Ларичихинского сельсовета «Об исполнении бюджета Ларичихинского сельсовета за 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годие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» </w:t>
            </w:r>
          </w:p>
          <w:p w14:paraId="03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№ 18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от </w:t>
            </w:r>
            <w:r>
              <w:rPr>
                <w:sz w:val="28"/>
              </w:rPr>
              <w:t xml:space="preserve"> 19</w:t>
            </w:r>
            <w:r>
              <w:rPr>
                <w:sz w:val="28"/>
              </w:rPr>
              <w:t>.07.2024</w:t>
            </w:r>
            <w:r>
              <w:rPr>
                <w:sz w:val="28"/>
              </w:rPr>
              <w:t xml:space="preserve"> года</w:t>
            </w:r>
          </w:p>
          <w:p w14:paraId="04000000">
            <w:pPr>
              <w:keepNext w:val="1"/>
              <w:keepLines w:val="1"/>
              <w:ind/>
              <w:jc w:val="both"/>
              <w:rPr>
                <w:sz w:val="28"/>
              </w:rPr>
            </w:pPr>
          </w:p>
        </w:tc>
      </w:tr>
    </w:tbl>
    <w:p w14:paraId="05000000">
      <w:pPr>
        <w:ind w:firstLine="539" w:left="0"/>
        <w:jc w:val="center"/>
        <w:rPr>
          <w:sz w:val="28"/>
        </w:rPr>
      </w:pPr>
      <w:r>
        <w:rPr>
          <w:sz w:val="28"/>
        </w:rPr>
        <w:t>ОТЧЕТ ПО МУНИЦИПАЛЬНОМУ ВНУТРЕННЕМУ ДОЛГУ СЕЛЬСОВЕТА НА 01.</w:t>
      </w:r>
      <w:r>
        <w:rPr>
          <w:sz w:val="28"/>
        </w:rPr>
        <w:t>0</w:t>
      </w:r>
      <w:r>
        <w:rPr>
          <w:sz w:val="28"/>
        </w:rPr>
        <w:t>7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tbl>
      <w:tblPr>
        <w:tblStyle w:val="Style_1"/>
        <w:tblInd w:type="dxa" w:w="3"/>
        <w:tblLayout w:type="fixed"/>
        <w:tblCellMar>
          <w:left w:type="dxa" w:w="0"/>
          <w:right w:type="dxa" w:w="0"/>
        </w:tblCellMar>
      </w:tblPr>
      <w:tblGrid>
        <w:gridCol w:w="6096"/>
        <w:gridCol w:w="3543"/>
      </w:tblGrid>
      <w:tr>
        <w:trPr>
          <w:trHeight w:hRule="atLeast" w:val="1"/>
        </w:trPr>
        <w:tc>
          <w:tcPr>
            <w:tcW w:type="dxa" w:w="60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6000000">
            <w:pPr>
              <w:widowControl w:val="0"/>
              <w:spacing w:after="4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Вид долгового обязательства</w:t>
            </w:r>
          </w:p>
        </w:tc>
        <w:tc>
          <w:tcPr>
            <w:tcW w:type="dxa" w:w="35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7000000">
            <w:pPr>
              <w:widowControl w:val="0"/>
              <w:spacing w:after="4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Объем обязательств (руб.) муниц</w:t>
            </w:r>
            <w:r>
              <w:rPr>
                <w:sz w:val="21"/>
              </w:rPr>
              <w:t>и</w:t>
            </w:r>
            <w:r>
              <w:rPr>
                <w:sz w:val="21"/>
              </w:rPr>
              <w:t>пального образования Ларичихинский сел</w:t>
            </w:r>
            <w:r>
              <w:rPr>
                <w:sz w:val="21"/>
              </w:rPr>
              <w:t>ь</w:t>
            </w:r>
            <w:r>
              <w:rPr>
                <w:sz w:val="21"/>
              </w:rPr>
              <w:t>совет</w:t>
            </w:r>
          </w:p>
        </w:tc>
      </w:tr>
      <w:tr>
        <w:trPr>
          <w:trHeight w:hRule="atLeast" w:val="1"/>
        </w:trPr>
        <w:tc>
          <w:tcPr>
            <w:tcW w:type="dxa" w:w="60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8000000">
            <w:pPr>
              <w:widowControl w:val="0"/>
              <w:spacing w:after="40"/>
              <w:ind/>
              <w:rPr>
                <w:sz w:val="21"/>
              </w:rPr>
            </w:pPr>
            <w:r>
              <w:rPr>
                <w:sz w:val="21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type="dxa" w:w="35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9000000">
            <w:pPr>
              <w:widowControl w:val="0"/>
              <w:spacing w:after="4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>
          <w:trHeight w:hRule="atLeast" w:val="1"/>
        </w:trPr>
        <w:tc>
          <w:tcPr>
            <w:tcW w:type="dxa" w:w="60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A000000">
            <w:pPr>
              <w:widowControl w:val="0"/>
              <w:spacing w:after="40"/>
              <w:ind/>
              <w:jc w:val="both"/>
              <w:rPr>
                <w:sz w:val="21"/>
              </w:rPr>
            </w:pPr>
            <w:r>
              <w:rPr>
                <w:sz w:val="21"/>
              </w:rPr>
              <w:t>Кредиты, полученные муниципальными образованиями от креди</w:t>
            </w:r>
            <w:r>
              <w:rPr>
                <w:sz w:val="21"/>
              </w:rPr>
              <w:t>т</w:t>
            </w:r>
            <w:r>
              <w:rPr>
                <w:sz w:val="21"/>
              </w:rPr>
              <w:t>ных орган</w:t>
            </w:r>
            <w:r>
              <w:rPr>
                <w:sz w:val="21"/>
              </w:rPr>
              <w:t>и</w:t>
            </w:r>
            <w:r>
              <w:rPr>
                <w:sz w:val="21"/>
              </w:rPr>
              <w:t>заций</w:t>
            </w:r>
          </w:p>
        </w:tc>
        <w:tc>
          <w:tcPr>
            <w:tcW w:type="dxa" w:w="35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B000000">
            <w:pPr>
              <w:widowControl w:val="0"/>
              <w:spacing w:after="4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>
          <w:trHeight w:hRule="atLeast" w:val="1"/>
        </w:trPr>
        <w:tc>
          <w:tcPr>
            <w:tcW w:type="dxa" w:w="60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C000000">
            <w:pPr>
              <w:widowControl w:val="0"/>
              <w:spacing w:after="40"/>
              <w:ind/>
              <w:jc w:val="both"/>
              <w:rPr>
                <w:sz w:val="21"/>
              </w:rPr>
            </w:pPr>
            <w:r>
              <w:rPr>
                <w:sz w:val="21"/>
              </w:rPr>
              <w:t>Гарантии муниципального образования (муниципальные гарантии)</w:t>
            </w:r>
          </w:p>
        </w:tc>
        <w:tc>
          <w:tcPr>
            <w:tcW w:type="dxa" w:w="35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D000000">
            <w:pPr>
              <w:widowControl w:val="0"/>
              <w:spacing w:after="4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>
          <w:trHeight w:hRule="atLeast" w:val="474"/>
        </w:trPr>
        <w:tc>
          <w:tcPr>
            <w:tcW w:type="dxa" w:w="60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E000000">
            <w:pPr>
              <w:widowControl w:val="0"/>
              <w:spacing w:after="40"/>
              <w:ind/>
              <w:jc w:val="both"/>
              <w:rPr>
                <w:sz w:val="21"/>
              </w:rPr>
            </w:pPr>
            <w:r>
              <w:rPr>
                <w:sz w:val="21"/>
              </w:rPr>
              <w:t>Ценные бумаги муниципального образования (муниципальные ценные бум</w:t>
            </w:r>
            <w:r>
              <w:rPr>
                <w:sz w:val="21"/>
              </w:rPr>
              <w:t>а</w:t>
            </w:r>
            <w:r>
              <w:rPr>
                <w:sz w:val="21"/>
              </w:rPr>
              <w:t>ги)</w:t>
            </w:r>
          </w:p>
        </w:tc>
        <w:tc>
          <w:tcPr>
            <w:tcW w:type="dxa" w:w="35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F000000">
            <w:pPr>
              <w:widowControl w:val="0"/>
              <w:spacing w:after="4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>
          <w:trHeight w:hRule="atLeast" w:val="1"/>
        </w:trPr>
        <w:tc>
          <w:tcPr>
            <w:tcW w:type="dxa" w:w="60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0000000">
            <w:pPr>
              <w:widowControl w:val="0"/>
              <w:spacing w:after="40"/>
              <w:ind/>
              <w:jc w:val="both"/>
              <w:rPr>
                <w:b w:val="1"/>
                <w:sz w:val="21"/>
              </w:rPr>
            </w:pPr>
            <w:r>
              <w:rPr>
                <w:b w:val="1"/>
                <w:sz w:val="21"/>
              </w:rPr>
              <w:t>Итого</w:t>
            </w:r>
          </w:p>
        </w:tc>
        <w:tc>
          <w:tcPr>
            <w:tcW w:type="dxa" w:w="35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1000000">
            <w:pPr>
              <w:widowControl w:val="0"/>
              <w:spacing w:after="40"/>
              <w:ind/>
              <w:jc w:val="center"/>
              <w:rPr>
                <w:b w:val="1"/>
                <w:sz w:val="21"/>
              </w:rPr>
            </w:pPr>
            <w:r>
              <w:rPr>
                <w:b w:val="1"/>
                <w:sz w:val="21"/>
              </w:rPr>
              <w:t>0,00</w:t>
            </w:r>
          </w:p>
        </w:tc>
      </w:tr>
    </w:tbl>
    <w:p w14:paraId="12000000">
      <w:pPr>
        <w:ind w:firstLine="708" w:left="4956"/>
        <w:rPr>
          <w:b w:val="1"/>
          <w:sz w:val="21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1"/>
        <w:gridCol w:w="19"/>
      </w:tblGrid>
      <w:tr>
        <w:trPr>
          <w:trHeight w:hRule="atLeast" w:val="1"/>
        </w:trPr>
        <w:tc>
          <w:tcPr>
            <w:tcW w:type="dxa" w:w="4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13000000">
            <w:pPr>
              <w:rPr>
                <w:rFonts w:ascii="Calibri" w:hAnsi="Calibri"/>
                <w:sz w:val="21"/>
              </w:rPr>
            </w:pPr>
          </w:p>
        </w:tc>
        <w:tc>
          <w:tcPr>
            <w:tcW w:type="dxa" w:w="1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14000000">
            <w:pPr>
              <w:widowControl w:val="0"/>
              <w:spacing w:after="40"/>
              <w:ind w:firstLine="708" w:left="0"/>
              <w:jc w:val="both"/>
              <w:rPr>
                <w:rFonts w:ascii="Calibri" w:hAnsi="Calibri"/>
                <w:sz w:val="21"/>
              </w:rPr>
            </w:pPr>
          </w:p>
        </w:tc>
      </w:tr>
    </w:tbl>
    <w:p w14:paraId="15000000">
      <w:pPr>
        <w:widowControl w:val="0"/>
        <w:spacing w:after="40"/>
        <w:ind/>
        <w:jc w:val="center"/>
        <w:rPr>
          <w:rFonts w:ascii="Arial CYR" w:hAnsi="Arial CYR"/>
          <w:sz w:val="21"/>
        </w:rPr>
      </w:pPr>
      <w:r>
        <w:rPr>
          <w:rFonts w:ascii="Times New Roman CYR" w:hAnsi="Times New Roman CYR"/>
          <w:sz w:val="21"/>
        </w:rPr>
        <w:t>ПРОГРАММА</w:t>
      </w:r>
    </w:p>
    <w:p w14:paraId="16000000">
      <w:pPr>
        <w:widowControl w:val="0"/>
        <w:spacing w:after="40"/>
        <w:ind/>
        <w:jc w:val="center"/>
        <w:rPr>
          <w:rFonts w:ascii="Arial CYR" w:hAnsi="Arial CYR"/>
          <w:sz w:val="21"/>
        </w:rPr>
      </w:pPr>
      <w:r>
        <w:rPr>
          <w:rFonts w:ascii="Times New Roman CYR" w:hAnsi="Times New Roman CYR"/>
          <w:sz w:val="21"/>
        </w:rPr>
        <w:t xml:space="preserve">муниципальных заимствований </w:t>
      </w:r>
      <w:r>
        <w:rPr>
          <w:rFonts w:ascii="Times New Roman CYR" w:hAnsi="Times New Roman CYR"/>
          <w:sz w:val="21"/>
        </w:rPr>
        <w:t>Ларичихин</w:t>
      </w:r>
      <w:r>
        <w:rPr>
          <w:rFonts w:ascii="Times New Roman CYR" w:hAnsi="Times New Roman CYR"/>
          <w:sz w:val="21"/>
        </w:rPr>
        <w:t>ского</w:t>
      </w:r>
      <w:r>
        <w:rPr>
          <w:rFonts w:ascii="Times New Roman CYR" w:hAnsi="Times New Roman CYR"/>
          <w:sz w:val="21"/>
        </w:rPr>
        <w:t xml:space="preserve"> сельсовета</w:t>
      </w:r>
    </w:p>
    <w:p w14:paraId="17000000">
      <w:pPr>
        <w:widowControl w:val="0"/>
        <w:spacing w:after="40"/>
        <w:ind/>
        <w:jc w:val="center"/>
        <w:rPr>
          <w:rFonts w:ascii="Arial CYR" w:hAnsi="Arial CYR"/>
          <w:sz w:val="21"/>
        </w:rPr>
      </w:pPr>
      <w:r>
        <w:rPr>
          <w:rFonts w:ascii="Times New Roman CYR" w:hAnsi="Times New Roman CYR"/>
          <w:sz w:val="21"/>
        </w:rPr>
        <w:t xml:space="preserve">за </w:t>
      </w:r>
      <w:r>
        <w:rPr>
          <w:rFonts w:ascii="Times New Roman CYR" w:hAnsi="Times New Roman CYR"/>
          <w:sz w:val="21"/>
        </w:rPr>
        <w:t>1</w:t>
      </w:r>
      <w:r>
        <w:rPr>
          <w:rFonts w:ascii="Times New Roman CYR" w:hAnsi="Times New Roman CYR"/>
          <w:sz w:val="21"/>
        </w:rPr>
        <w:t xml:space="preserve"> </w:t>
      </w:r>
      <w:r>
        <w:rPr>
          <w:rFonts w:ascii="Times New Roman CYR" w:hAnsi="Times New Roman CYR"/>
          <w:sz w:val="21"/>
        </w:rPr>
        <w:t>полугодие</w:t>
      </w:r>
      <w:r>
        <w:rPr>
          <w:rFonts w:ascii="Times New Roman CYR" w:hAnsi="Times New Roman CYR"/>
          <w:sz w:val="21"/>
        </w:rPr>
        <w:t xml:space="preserve"> </w:t>
      </w:r>
      <w:r>
        <w:rPr>
          <w:rFonts w:ascii="Times New Roman CYR" w:hAnsi="Times New Roman CYR"/>
          <w:sz w:val="21"/>
        </w:rPr>
        <w:t>2</w:t>
      </w:r>
      <w:r>
        <w:rPr>
          <w:rFonts w:ascii="Times New Roman CYR" w:hAnsi="Times New Roman CYR"/>
          <w:sz w:val="21"/>
        </w:rPr>
        <w:t>02</w:t>
      </w:r>
      <w:r>
        <w:rPr>
          <w:rFonts w:ascii="Times New Roman CYR" w:hAnsi="Times New Roman CYR"/>
          <w:sz w:val="21"/>
        </w:rPr>
        <w:t>4</w:t>
      </w:r>
      <w:r>
        <w:rPr>
          <w:rFonts w:ascii="Times New Roman CYR" w:hAnsi="Times New Roman CYR"/>
          <w:sz w:val="21"/>
        </w:rPr>
        <w:t xml:space="preserve"> год</w:t>
      </w:r>
      <w:r>
        <w:rPr>
          <w:rFonts w:ascii="Times New Roman CYR" w:hAnsi="Times New Roman CYR"/>
          <w:sz w:val="21"/>
        </w:rPr>
        <w:t>а</w:t>
      </w:r>
    </w:p>
    <w:p w14:paraId="18000000">
      <w:pPr>
        <w:widowControl w:val="0"/>
        <w:spacing w:after="40"/>
        <w:ind/>
        <w:jc w:val="both"/>
        <w:rPr>
          <w:rFonts w:ascii="Arial" w:hAnsi="Arial"/>
          <w:sz w:val="21"/>
        </w:rPr>
      </w:pPr>
    </w:p>
    <w:p w14:paraId="19000000">
      <w:pPr>
        <w:widowControl w:val="0"/>
        <w:spacing w:after="40"/>
        <w:ind/>
        <w:jc w:val="center"/>
        <w:rPr>
          <w:rFonts w:ascii="Arial CYR" w:hAnsi="Arial CYR"/>
          <w:sz w:val="21"/>
        </w:rPr>
      </w:pPr>
      <w:r>
        <w:rPr>
          <w:rFonts w:ascii="Times New Roman CYR" w:hAnsi="Times New Roman CYR"/>
          <w:sz w:val="21"/>
        </w:rPr>
        <w:t>ОБЪЕМЫ</w:t>
      </w:r>
    </w:p>
    <w:p w14:paraId="1A000000">
      <w:pPr>
        <w:widowControl w:val="0"/>
        <w:spacing w:after="40"/>
        <w:ind/>
        <w:jc w:val="center"/>
        <w:rPr>
          <w:rFonts w:ascii="Arial CYR" w:hAnsi="Arial CYR"/>
          <w:sz w:val="21"/>
        </w:rPr>
      </w:pPr>
      <w:r>
        <w:rPr>
          <w:rFonts w:ascii="Times New Roman CYR" w:hAnsi="Times New Roman CYR"/>
          <w:sz w:val="21"/>
        </w:rPr>
        <w:t xml:space="preserve">муниципальных заимствований и средств, направляемых на погашение основной суммы муниципального долга </w:t>
      </w:r>
      <w:r>
        <w:rPr>
          <w:rFonts w:ascii="Times New Roman CYR" w:hAnsi="Times New Roman CYR"/>
          <w:sz w:val="21"/>
        </w:rPr>
        <w:t>Ларичихин</w:t>
      </w:r>
      <w:r>
        <w:rPr>
          <w:rFonts w:ascii="Times New Roman CYR" w:hAnsi="Times New Roman CYR"/>
          <w:sz w:val="21"/>
        </w:rPr>
        <w:t>ск</w:t>
      </w:r>
      <w:r>
        <w:rPr>
          <w:rFonts w:ascii="Times New Roman CYR" w:hAnsi="Times New Roman CYR"/>
          <w:sz w:val="21"/>
        </w:rPr>
        <w:t>о</w:t>
      </w:r>
      <w:r>
        <w:rPr>
          <w:rFonts w:ascii="Times New Roman CYR" w:hAnsi="Times New Roman CYR"/>
          <w:sz w:val="21"/>
        </w:rPr>
        <w:t>го</w:t>
      </w:r>
      <w:r>
        <w:rPr>
          <w:rFonts w:ascii="Times New Roman CYR" w:hAnsi="Times New Roman CYR"/>
          <w:sz w:val="21"/>
        </w:rPr>
        <w:t xml:space="preserve"> сельсовета</w:t>
      </w:r>
    </w:p>
    <w:p w14:paraId="1B000000">
      <w:pPr>
        <w:widowControl w:val="0"/>
        <w:spacing w:after="40"/>
        <w:ind/>
        <w:jc w:val="center"/>
        <w:rPr>
          <w:rFonts w:ascii="Arial" w:hAnsi="Arial"/>
          <w:sz w:val="21"/>
        </w:rPr>
      </w:pPr>
      <w:r>
        <w:rPr>
          <w:rFonts w:ascii="Times New Roman CYR" w:hAnsi="Times New Roman CYR"/>
          <w:sz w:val="21"/>
        </w:rPr>
        <w:t xml:space="preserve">за </w:t>
      </w:r>
      <w:r>
        <w:rPr>
          <w:rFonts w:ascii="Times New Roman CYR" w:hAnsi="Times New Roman CYR"/>
          <w:sz w:val="21"/>
        </w:rPr>
        <w:t>1</w:t>
      </w:r>
      <w:r>
        <w:rPr>
          <w:rFonts w:ascii="Times New Roman CYR" w:hAnsi="Times New Roman CYR"/>
          <w:sz w:val="21"/>
        </w:rPr>
        <w:t xml:space="preserve"> </w:t>
      </w:r>
      <w:r>
        <w:rPr>
          <w:rFonts w:ascii="Times New Roman CYR" w:hAnsi="Times New Roman CYR"/>
          <w:sz w:val="21"/>
        </w:rPr>
        <w:t>полугодие</w:t>
      </w:r>
      <w:r>
        <w:rPr>
          <w:rFonts w:ascii="Times New Roman CYR" w:hAnsi="Times New Roman CYR"/>
          <w:sz w:val="21"/>
        </w:rPr>
        <w:t xml:space="preserve"> </w:t>
      </w:r>
      <w:r>
        <w:rPr>
          <w:rFonts w:ascii="Times New Roman CYR" w:hAnsi="Times New Roman CYR"/>
          <w:sz w:val="21"/>
        </w:rPr>
        <w:t>202</w:t>
      </w:r>
      <w:r>
        <w:rPr>
          <w:rFonts w:ascii="Times New Roman CYR" w:hAnsi="Times New Roman CYR"/>
          <w:sz w:val="21"/>
        </w:rPr>
        <w:t>4</w:t>
      </w:r>
      <w:r>
        <w:rPr>
          <w:rFonts w:ascii="Times New Roman CYR" w:hAnsi="Times New Roman CYR"/>
          <w:sz w:val="21"/>
        </w:rPr>
        <w:t xml:space="preserve"> год</w:t>
      </w:r>
      <w:r>
        <w:rPr>
          <w:rFonts w:ascii="Times New Roman CYR" w:hAnsi="Times New Roman CYR"/>
          <w:sz w:val="21"/>
        </w:rPr>
        <w:t>а</w:t>
      </w:r>
    </w:p>
    <w:tbl>
      <w:tblPr>
        <w:tblStyle w:val="Style_1"/>
        <w:tblInd w:type="dxa" w:w="3"/>
        <w:tblLayout w:type="fixed"/>
        <w:tblCellMar>
          <w:left w:type="dxa" w:w="0"/>
          <w:right w:type="dxa" w:w="0"/>
        </w:tblCellMar>
      </w:tblPr>
      <w:tblGrid>
        <w:gridCol w:w="709"/>
        <w:gridCol w:w="7229"/>
        <w:gridCol w:w="1701"/>
      </w:tblGrid>
      <w:tr>
        <w:trPr>
          <w:trHeight w:hRule="atLeast" w:val="1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C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 xml:space="preserve">№ </w:t>
            </w:r>
            <w:r>
              <w:rPr>
                <w:rFonts w:ascii="Times New Roman CYR" w:hAnsi="Times New Roman CYR"/>
                <w:sz w:val="21"/>
              </w:rPr>
              <w:t>п/п</w:t>
            </w:r>
          </w:p>
        </w:tc>
        <w:tc>
          <w:tcPr>
            <w:tcW w:type="dxa" w:w="7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D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Times New Roman CYR" w:hAnsi="Times New Roman CYR"/>
                <w:sz w:val="21"/>
              </w:rPr>
              <w:t>Вид заимствований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E000000">
            <w:pPr>
              <w:widowControl w:val="0"/>
              <w:spacing w:after="40"/>
              <w:ind/>
              <w:jc w:val="center"/>
              <w:rPr>
                <w:rFonts w:ascii="Times New Roman CYR" w:hAnsi="Times New Roman CYR"/>
                <w:sz w:val="21"/>
              </w:rPr>
            </w:pPr>
            <w:r>
              <w:rPr>
                <w:rFonts w:ascii="Times New Roman CYR" w:hAnsi="Times New Roman CYR"/>
                <w:sz w:val="21"/>
              </w:rPr>
              <w:t xml:space="preserve">Сумма за </w:t>
            </w:r>
            <w:r>
              <w:rPr>
                <w:rFonts w:ascii="Times New Roman CYR" w:hAnsi="Times New Roman CYR"/>
                <w:sz w:val="21"/>
              </w:rPr>
              <w:t>1</w:t>
            </w:r>
            <w:r>
              <w:rPr>
                <w:rFonts w:ascii="Times New Roman CYR" w:hAnsi="Times New Roman CYR"/>
                <w:sz w:val="21"/>
              </w:rPr>
              <w:t xml:space="preserve"> </w:t>
            </w:r>
            <w:r>
              <w:rPr>
                <w:rFonts w:ascii="Times New Roman CYR" w:hAnsi="Times New Roman CYR"/>
                <w:sz w:val="21"/>
              </w:rPr>
              <w:t>пол</w:t>
            </w:r>
            <w:r>
              <w:rPr>
                <w:rFonts w:ascii="Times New Roman CYR" w:hAnsi="Times New Roman CYR"/>
                <w:sz w:val="21"/>
              </w:rPr>
              <w:t>у</w:t>
            </w:r>
            <w:r>
              <w:rPr>
                <w:rFonts w:ascii="Times New Roman CYR" w:hAnsi="Times New Roman CYR"/>
                <w:sz w:val="21"/>
              </w:rPr>
              <w:t>годие</w:t>
            </w:r>
          </w:p>
          <w:p w14:paraId="1F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Times New Roman CYR" w:hAnsi="Times New Roman CYR"/>
                <w:sz w:val="21"/>
              </w:rPr>
              <w:t>202</w:t>
            </w:r>
            <w:r>
              <w:rPr>
                <w:rFonts w:ascii="Times New Roman CYR" w:hAnsi="Times New Roman CYR"/>
                <w:sz w:val="21"/>
              </w:rPr>
              <w:t>4</w:t>
            </w:r>
            <w:r>
              <w:rPr>
                <w:rFonts w:ascii="Times New Roman CYR" w:hAnsi="Times New Roman CYR"/>
                <w:sz w:val="21"/>
              </w:rPr>
              <w:t xml:space="preserve"> год</w:t>
            </w:r>
            <w:r>
              <w:rPr>
                <w:rFonts w:ascii="Times New Roman CYR" w:hAnsi="Times New Roman CYR"/>
                <w:sz w:val="21"/>
              </w:rPr>
              <w:t>а</w:t>
            </w:r>
            <w:r>
              <w:rPr>
                <w:rFonts w:ascii="Times New Roman CYR" w:hAnsi="Times New Roman CYR"/>
                <w:sz w:val="21"/>
              </w:rPr>
              <w:t>, тыс. рублей</w:t>
            </w:r>
          </w:p>
        </w:tc>
      </w:tr>
      <w:tr>
        <w:trPr>
          <w:trHeight w:hRule="atLeast" w:val="1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0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type="dxa" w:w="7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1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2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>
        <w:trPr>
          <w:trHeight w:hRule="atLeast" w:val="1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3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type="dxa" w:w="7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4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rFonts w:ascii="Times New Roman CYR" w:hAnsi="Times New Roman CYR"/>
                <w:sz w:val="21"/>
              </w:rPr>
              <w:t>Объем муниципальных заимствований, в том числе: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5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</w:p>
        </w:tc>
      </w:tr>
      <w:tr>
        <w:trPr>
          <w:trHeight w:hRule="atLeast" w:val="1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6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1.1.</w:t>
            </w:r>
          </w:p>
        </w:tc>
        <w:tc>
          <w:tcPr>
            <w:tcW w:type="dxa" w:w="7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7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rFonts w:ascii="Times New Roman CYR" w:hAnsi="Times New Roman CYR"/>
                <w:sz w:val="21"/>
              </w:rPr>
              <w:t>по кредитным соглашениям и договорам с кредитными организаци</w:t>
            </w:r>
            <w:r>
              <w:rPr>
                <w:rFonts w:ascii="Times New Roman CYR" w:hAnsi="Times New Roman CYR"/>
                <w:sz w:val="21"/>
              </w:rPr>
              <w:t>я</w:t>
            </w:r>
            <w:r>
              <w:rPr>
                <w:rFonts w:ascii="Times New Roman CYR" w:hAnsi="Times New Roman CYR"/>
                <w:sz w:val="21"/>
              </w:rPr>
              <w:t>ми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8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hRule="atLeast" w:val="1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9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1.2.</w:t>
            </w:r>
          </w:p>
        </w:tc>
        <w:tc>
          <w:tcPr>
            <w:tcW w:type="dxa" w:w="7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A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rFonts w:ascii="Times New Roman CYR" w:hAnsi="Times New Roman CYR"/>
                <w:sz w:val="21"/>
              </w:rPr>
              <w:t>по соглашениям и договорам с Комитетом по финансам, налоговой и кредитной политике Администр</w:t>
            </w:r>
            <w:r>
              <w:rPr>
                <w:rFonts w:ascii="Times New Roman CYR" w:hAnsi="Times New Roman CYR"/>
                <w:sz w:val="21"/>
              </w:rPr>
              <w:t>а</w:t>
            </w:r>
            <w:r>
              <w:rPr>
                <w:rFonts w:ascii="Times New Roman CYR" w:hAnsi="Times New Roman CYR"/>
                <w:sz w:val="21"/>
              </w:rPr>
              <w:t>ции Тальменского района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B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hRule="atLeast" w:val="1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type="dxa" w:w="7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D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rFonts w:ascii="Times New Roman CYR" w:hAnsi="Times New Roman CYR"/>
                <w:sz w:val="21"/>
              </w:rPr>
              <w:t>Объем средств, направляемых на погашение основной суммы муниципального до</w:t>
            </w:r>
            <w:r>
              <w:rPr>
                <w:rFonts w:ascii="Times New Roman CYR" w:hAnsi="Times New Roman CYR"/>
                <w:sz w:val="21"/>
              </w:rPr>
              <w:t>л</w:t>
            </w:r>
            <w:r>
              <w:rPr>
                <w:rFonts w:ascii="Times New Roman CYR" w:hAnsi="Times New Roman CYR"/>
                <w:sz w:val="21"/>
              </w:rPr>
              <w:t>га, в том числе: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E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</w:p>
        </w:tc>
      </w:tr>
      <w:tr>
        <w:trPr>
          <w:trHeight w:hRule="atLeast" w:val="1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F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2.1.</w:t>
            </w:r>
          </w:p>
        </w:tc>
        <w:tc>
          <w:tcPr>
            <w:tcW w:type="dxa" w:w="7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0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rFonts w:ascii="Times New Roman CYR" w:hAnsi="Times New Roman CYR"/>
                <w:sz w:val="21"/>
              </w:rPr>
              <w:t>по кредитным соглашениям и договорам с кредитными организаци</w:t>
            </w:r>
            <w:r>
              <w:rPr>
                <w:rFonts w:ascii="Times New Roman CYR" w:hAnsi="Times New Roman CYR"/>
                <w:sz w:val="21"/>
              </w:rPr>
              <w:t>я</w:t>
            </w:r>
            <w:r>
              <w:rPr>
                <w:rFonts w:ascii="Times New Roman CYR" w:hAnsi="Times New Roman CYR"/>
                <w:sz w:val="21"/>
              </w:rPr>
              <w:t>ми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hRule="atLeast" w:val="1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2.2.</w:t>
            </w:r>
          </w:p>
        </w:tc>
        <w:tc>
          <w:tcPr>
            <w:tcW w:type="dxa" w:w="7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rFonts w:ascii="Times New Roman CYR" w:hAnsi="Times New Roman CYR"/>
                <w:sz w:val="21"/>
              </w:rPr>
              <w:t>по соглашениям и договорам с Комитетом по финансам, налоговой и кредитной политике Администр</w:t>
            </w:r>
            <w:r>
              <w:rPr>
                <w:rFonts w:ascii="Times New Roman CYR" w:hAnsi="Times New Roman CYR"/>
                <w:sz w:val="21"/>
              </w:rPr>
              <w:t>а</w:t>
            </w:r>
            <w:r>
              <w:rPr>
                <w:rFonts w:ascii="Times New Roman CYR" w:hAnsi="Times New Roman CYR"/>
                <w:sz w:val="21"/>
              </w:rPr>
              <w:t>ции Тальменского района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4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0,0</w:t>
            </w:r>
          </w:p>
        </w:tc>
      </w:tr>
    </w:tbl>
    <w:p w14:paraId="35000000">
      <w:pPr>
        <w:widowControl w:val="0"/>
        <w:spacing w:after="40"/>
        <w:ind/>
        <w:jc w:val="center"/>
        <w:rPr>
          <w:rFonts w:ascii="Arial" w:hAnsi="Arial"/>
          <w:sz w:val="21"/>
        </w:rPr>
      </w:pPr>
    </w:p>
    <w:p w14:paraId="36000000">
      <w:pPr>
        <w:widowControl w:val="0"/>
        <w:spacing w:after="40"/>
        <w:ind/>
        <w:jc w:val="center"/>
        <w:rPr>
          <w:rFonts w:ascii="Arial CYR" w:hAnsi="Arial CYR"/>
          <w:sz w:val="21"/>
        </w:rPr>
      </w:pPr>
      <w:r>
        <w:rPr>
          <w:rFonts w:ascii="Times New Roman CYR" w:hAnsi="Times New Roman CYR"/>
          <w:sz w:val="21"/>
        </w:rPr>
        <w:t>ПРЕДЕЛЬНЫЕ СРОКИ</w:t>
      </w:r>
    </w:p>
    <w:p w14:paraId="37000000">
      <w:pPr>
        <w:widowControl w:val="0"/>
        <w:spacing w:after="40"/>
        <w:ind/>
        <w:jc w:val="center"/>
        <w:rPr>
          <w:rFonts w:ascii="Arial CYR" w:hAnsi="Arial CYR"/>
          <w:sz w:val="21"/>
        </w:rPr>
      </w:pPr>
      <w:r>
        <w:rPr>
          <w:rFonts w:ascii="Times New Roman CYR" w:hAnsi="Times New Roman CYR"/>
          <w:sz w:val="21"/>
        </w:rPr>
        <w:t xml:space="preserve">погашения долговых обязательств, возникающих при осуществлении муниципальных заимствований </w:t>
      </w:r>
      <w:r>
        <w:rPr>
          <w:rFonts w:ascii="Times New Roman CYR" w:hAnsi="Times New Roman CYR"/>
          <w:sz w:val="21"/>
        </w:rPr>
        <w:t>Л</w:t>
      </w:r>
      <w:r>
        <w:rPr>
          <w:rFonts w:ascii="Times New Roman CYR" w:hAnsi="Times New Roman CYR"/>
          <w:sz w:val="21"/>
        </w:rPr>
        <w:t>а</w:t>
      </w:r>
      <w:r>
        <w:rPr>
          <w:rFonts w:ascii="Times New Roman CYR" w:hAnsi="Times New Roman CYR"/>
          <w:sz w:val="21"/>
        </w:rPr>
        <w:t>ричихин</w:t>
      </w:r>
      <w:r>
        <w:rPr>
          <w:rFonts w:ascii="Times New Roman CYR" w:hAnsi="Times New Roman CYR"/>
          <w:sz w:val="21"/>
        </w:rPr>
        <w:t>ского</w:t>
      </w:r>
      <w:r>
        <w:rPr>
          <w:rFonts w:ascii="Times New Roman CYR" w:hAnsi="Times New Roman CYR"/>
          <w:sz w:val="21"/>
        </w:rPr>
        <w:t xml:space="preserve"> сельс</w:t>
      </w:r>
      <w:r>
        <w:rPr>
          <w:rFonts w:ascii="Times New Roman CYR" w:hAnsi="Times New Roman CYR"/>
          <w:sz w:val="21"/>
        </w:rPr>
        <w:t>о</w:t>
      </w:r>
      <w:r>
        <w:rPr>
          <w:rFonts w:ascii="Times New Roman CYR" w:hAnsi="Times New Roman CYR"/>
          <w:sz w:val="21"/>
        </w:rPr>
        <w:t>вета</w:t>
      </w:r>
    </w:p>
    <w:p w14:paraId="38000000">
      <w:pPr>
        <w:widowControl w:val="0"/>
        <w:spacing w:after="40"/>
        <w:ind/>
        <w:jc w:val="center"/>
        <w:rPr>
          <w:rFonts w:ascii="Arial CYR" w:hAnsi="Arial CYR"/>
          <w:sz w:val="21"/>
        </w:rPr>
      </w:pPr>
      <w:r>
        <w:rPr>
          <w:rFonts w:ascii="Times New Roman CYR" w:hAnsi="Times New Roman CYR"/>
          <w:sz w:val="21"/>
        </w:rPr>
        <w:t xml:space="preserve">за </w:t>
      </w:r>
      <w:r>
        <w:rPr>
          <w:rFonts w:ascii="Times New Roman CYR" w:hAnsi="Times New Roman CYR"/>
          <w:sz w:val="21"/>
        </w:rPr>
        <w:t>1</w:t>
      </w:r>
      <w:r>
        <w:rPr>
          <w:rFonts w:ascii="Times New Roman CYR" w:hAnsi="Times New Roman CYR"/>
          <w:sz w:val="21"/>
        </w:rPr>
        <w:t xml:space="preserve"> </w:t>
      </w:r>
      <w:r>
        <w:rPr>
          <w:rFonts w:ascii="Times New Roman CYR" w:hAnsi="Times New Roman CYR"/>
          <w:sz w:val="21"/>
        </w:rPr>
        <w:t>полугодие</w:t>
      </w:r>
      <w:r>
        <w:rPr>
          <w:rFonts w:ascii="Times New Roman CYR" w:hAnsi="Times New Roman CYR"/>
          <w:sz w:val="21"/>
        </w:rPr>
        <w:t xml:space="preserve"> </w:t>
      </w:r>
      <w:r>
        <w:rPr>
          <w:rFonts w:ascii="Times New Roman CYR" w:hAnsi="Times New Roman CYR"/>
          <w:sz w:val="21"/>
        </w:rPr>
        <w:t>202</w:t>
      </w:r>
      <w:r>
        <w:rPr>
          <w:rFonts w:ascii="Times New Roman CYR" w:hAnsi="Times New Roman CYR"/>
          <w:sz w:val="21"/>
        </w:rPr>
        <w:t>4</w:t>
      </w:r>
      <w:r>
        <w:rPr>
          <w:rFonts w:ascii="Times New Roman CYR" w:hAnsi="Times New Roman CYR"/>
          <w:sz w:val="21"/>
        </w:rPr>
        <w:t xml:space="preserve"> год</w:t>
      </w:r>
      <w:r>
        <w:rPr>
          <w:rFonts w:ascii="Times New Roman CYR" w:hAnsi="Times New Roman CYR"/>
          <w:sz w:val="21"/>
        </w:rPr>
        <w:t>а</w:t>
      </w:r>
    </w:p>
    <w:tbl>
      <w:tblPr>
        <w:tblStyle w:val="Style_1"/>
        <w:tblInd w:type="dxa" w:w="3"/>
        <w:tblLayout w:type="fixed"/>
        <w:tblCellMar>
          <w:left w:type="dxa" w:w="0"/>
          <w:right w:type="dxa" w:w="0"/>
        </w:tblCellMar>
      </w:tblPr>
      <w:tblGrid>
        <w:gridCol w:w="709"/>
        <w:gridCol w:w="7229"/>
        <w:gridCol w:w="1701"/>
      </w:tblGrid>
      <w:tr>
        <w:trPr>
          <w:trHeight w:hRule="atLeast" w:val="1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9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 xml:space="preserve">№ </w:t>
            </w:r>
            <w:r>
              <w:rPr>
                <w:rFonts w:ascii="Times New Roman CYR" w:hAnsi="Times New Roman CYR"/>
                <w:sz w:val="21"/>
              </w:rPr>
              <w:t>п/п</w:t>
            </w:r>
          </w:p>
        </w:tc>
        <w:tc>
          <w:tcPr>
            <w:tcW w:type="dxa" w:w="7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Times New Roman CYR" w:hAnsi="Times New Roman CYR"/>
                <w:sz w:val="21"/>
              </w:rPr>
              <w:t>Вид заимствований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B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Times New Roman CYR" w:hAnsi="Times New Roman CYR"/>
                <w:sz w:val="21"/>
              </w:rPr>
              <w:t>Предельный срок пог</w:t>
            </w:r>
            <w:r>
              <w:rPr>
                <w:rFonts w:ascii="Times New Roman CYR" w:hAnsi="Times New Roman CYR"/>
                <w:sz w:val="21"/>
              </w:rPr>
              <w:t>а</w:t>
            </w:r>
            <w:r>
              <w:rPr>
                <w:rFonts w:ascii="Times New Roman CYR" w:hAnsi="Times New Roman CYR"/>
                <w:sz w:val="21"/>
              </w:rPr>
              <w:t>шения</w:t>
            </w:r>
          </w:p>
        </w:tc>
      </w:tr>
      <w:tr>
        <w:trPr>
          <w:trHeight w:hRule="atLeast" w:val="1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type="dxa" w:w="7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D000000">
            <w:pPr>
              <w:widowControl w:val="0"/>
              <w:spacing w:after="40"/>
              <w:ind/>
              <w:jc w:val="both"/>
              <w:rPr>
                <w:rFonts w:ascii="Calibri" w:hAnsi="Calibri"/>
                <w:sz w:val="21"/>
              </w:rPr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00000">
            <w:pPr>
              <w:widowControl w:val="0"/>
              <w:spacing w:after="40"/>
              <w:ind/>
              <w:jc w:val="center"/>
              <w:rPr>
                <w:rFonts w:ascii="Calibri" w:hAnsi="Calibri"/>
                <w:sz w:val="21"/>
              </w:rPr>
            </w:pPr>
          </w:p>
        </w:tc>
      </w:tr>
    </w:tbl>
    <w:p w14:paraId="3F000000">
      <w:pPr>
        <w:widowControl w:val="0"/>
        <w:spacing w:after="40"/>
        <w:ind/>
        <w:jc w:val="both"/>
        <w:rPr>
          <w:rFonts w:ascii="Arial" w:hAnsi="Arial"/>
          <w:sz w:val="21"/>
        </w:rPr>
      </w:pPr>
    </w:p>
    <w:p w14:paraId="40000000">
      <w:pPr>
        <w:rPr>
          <w:sz w:val="20"/>
        </w:rPr>
      </w:pP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2024-07-22T07:01:34Z</dcterms:modified>
</cp:coreProperties>
</file>